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EA" w:rsidRDefault="008D0AE4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3025775</wp:posOffset>
            </wp:positionH>
            <wp:positionV relativeFrom="margin">
              <wp:posOffset>-1025525</wp:posOffset>
            </wp:positionV>
            <wp:extent cx="3748405" cy="2550160"/>
            <wp:effectExtent l="0" t="0" r="4445" b="254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55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6EA" w:rsidRDefault="009B66EA"/>
    <w:p w:rsidR="009B66EA" w:rsidRDefault="009B66EA"/>
    <w:p w:rsidR="009B66EA" w:rsidRDefault="009B66EA"/>
    <w:p w:rsidR="009B66EA" w:rsidRDefault="009B66EA"/>
    <w:p w:rsidR="009B66EA" w:rsidRDefault="009B66EA"/>
    <w:p w:rsidR="009B66EA" w:rsidRDefault="009B66E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NAGYKANIZSA MEGYEI JOGÚ VÁROS ÖNKORMÁNYZATA</w:t>
      </w:r>
    </w:p>
    <w:p w:rsidR="009B66EA" w:rsidRDefault="009B66EA"/>
    <w:p w:rsidR="009B66EA" w:rsidRDefault="009B66EA">
      <w:r>
        <w:t>2017.09.05.</w:t>
      </w:r>
    </w:p>
    <w:p w:rsidR="009B66EA" w:rsidRDefault="009B66EA">
      <w:pPr>
        <w:rPr>
          <w:rFonts w:ascii="Arial-BoldMT" w:hAnsi="Arial-BoldMT" w:cs="Arial-BoldMT"/>
          <w:b/>
          <w:bCs/>
          <w:color w:val="0000FF"/>
          <w:sz w:val="25"/>
          <w:szCs w:val="25"/>
        </w:rPr>
      </w:pPr>
      <w:r>
        <w:rPr>
          <w:rFonts w:ascii="Arial-BoldMT" w:hAnsi="Arial-BoldMT" w:cs="Arial-BoldMT"/>
          <w:b/>
          <w:bCs/>
          <w:color w:val="0000FF"/>
          <w:sz w:val="27"/>
          <w:szCs w:val="27"/>
        </w:rPr>
        <w:t>SAJTÓKÖZLEMÉNY</w:t>
      </w:r>
    </w:p>
    <w:p w:rsidR="009B66EA" w:rsidRDefault="009B66EA">
      <w:pPr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TOP-6.6.1-15-NA1-2016-00001 – </w:t>
      </w:r>
      <w:r w:rsidR="002D53F6">
        <w:rPr>
          <w:rFonts w:ascii="Arial-BoldMT" w:hAnsi="Arial-BoldMT" w:cs="Arial-BoldMT"/>
          <w:b/>
          <w:bCs/>
          <w:sz w:val="21"/>
          <w:szCs w:val="21"/>
        </w:rPr>
        <w:t>„</w:t>
      </w:r>
      <w:r>
        <w:rPr>
          <w:rFonts w:ascii="Arial-BoldMT" w:hAnsi="Arial-BoldMT" w:cs="Arial-BoldMT"/>
          <w:b/>
          <w:bCs/>
          <w:sz w:val="21"/>
          <w:szCs w:val="21"/>
        </w:rPr>
        <w:t>Egészségügyi alapellátás fejlesztése</w:t>
      </w:r>
      <w:r>
        <w:rPr>
          <w:rFonts w:ascii="Arial-BoldMT CE" w:hAnsi="Arial-BoldMT CE" w:cs="Arial-BoldMT CE"/>
          <w:b/>
          <w:bCs/>
          <w:sz w:val="21"/>
          <w:szCs w:val="21"/>
        </w:rPr>
        <w:t xml:space="preserve"> Nagykanizsán” megnevezésű projekt indításáról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</w:p>
    <w:p w:rsidR="009B66EA" w:rsidRDefault="009B66EA">
      <w:pPr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Nagykanizsa Megyei Jogú Város Önkormányzata az </w:t>
      </w:r>
      <w:r w:rsidR="002D53F6">
        <w:rPr>
          <w:rFonts w:ascii="Arial-BoldMT" w:hAnsi="Arial-BoldMT" w:cs="Arial-BoldMT"/>
          <w:b/>
          <w:bCs/>
          <w:sz w:val="21"/>
          <w:szCs w:val="21"/>
        </w:rPr>
        <w:t>„</w:t>
      </w:r>
      <w:bookmarkStart w:id="0" w:name="_GoBack"/>
      <w:bookmarkEnd w:id="0"/>
      <w:r w:rsidR="008D0AE4" w:rsidRPr="008D0AE4">
        <w:rPr>
          <w:rFonts w:ascii="Arial-BoldMT" w:hAnsi="Arial-BoldMT" w:cs="Arial-BoldMT"/>
          <w:b/>
          <w:bCs/>
          <w:sz w:val="21"/>
          <w:szCs w:val="21"/>
        </w:rPr>
        <w:t>Egészségügyi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alapellátás infrastrukturális fejlesztése</w:t>
      </w:r>
      <w:r w:rsidR="002D53F6">
        <w:rPr>
          <w:rFonts w:ascii="Arial-BoldMT CE" w:hAnsi="Arial-BoldMT CE" w:cs="Arial-BoldMT CE"/>
          <w:b/>
          <w:bCs/>
          <w:sz w:val="21"/>
          <w:szCs w:val="21"/>
        </w:rPr>
        <w:t>”</w:t>
      </w:r>
      <w:r>
        <w:rPr>
          <w:rFonts w:ascii="Arial-BoldMT CE" w:hAnsi="Arial-BoldMT CE" w:cs="Arial-BoldMT CE"/>
          <w:b/>
          <w:bCs/>
          <w:sz w:val="21"/>
          <w:szCs w:val="21"/>
        </w:rPr>
        <w:t xml:space="preserve"> című felhívás kapcsán benyújtot</w:t>
      </w:r>
      <w:r>
        <w:rPr>
          <w:rFonts w:ascii="Arial-BoldMT" w:hAnsi="Arial-BoldMT" w:cs="Arial-BoldMT"/>
          <w:b/>
          <w:bCs/>
          <w:sz w:val="21"/>
          <w:szCs w:val="21"/>
        </w:rPr>
        <w:t>t pályázata pozitív elbírálású eredménnyel zárt. A Támogató döntése alapján 209.000.000,- Ft, 100% intenzitású v</w:t>
      </w:r>
      <w:r>
        <w:rPr>
          <w:rFonts w:ascii="Arial-BoldMT CE" w:hAnsi="Arial-BoldMT CE" w:cs="Arial-BoldMT CE"/>
          <w:b/>
          <w:bCs/>
          <w:sz w:val="21"/>
          <w:szCs w:val="21"/>
        </w:rPr>
        <w:t>issza nem térítendő támogatásban részesült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Az egészségügyi alapellátó-rendszer infrastrukturális fejlesztése az intézmények szolgáltatásainak és </w:t>
      </w:r>
      <w:r>
        <w:rPr>
          <w:rFonts w:ascii="Arial-BoldMT CE" w:hAnsi="Arial-BoldMT CE" w:cs="Arial-BoldMT CE"/>
          <w:sz w:val="21"/>
          <w:szCs w:val="21"/>
        </w:rPr>
        <w:t>infrastrukturális feltételeinek korszerűsítését, a hozzáférés egyenetlens</w:t>
      </w:r>
      <w:r>
        <w:rPr>
          <w:rFonts w:ascii="Arial-BoldMT" w:hAnsi="Arial-BoldMT" w:cs="Arial-BoldMT"/>
          <w:sz w:val="21"/>
          <w:szCs w:val="21"/>
        </w:rPr>
        <w:t>égeinek mérséklését célozza. A fejlesztések a lakosság egészségben eltöltött életéveinek növekedését, a me</w:t>
      </w:r>
      <w:r>
        <w:rPr>
          <w:rFonts w:ascii="Arial-BoldMT CE" w:hAnsi="Arial-BoldMT CE" w:cs="Arial-BoldMT CE"/>
          <w:sz w:val="21"/>
          <w:szCs w:val="21"/>
        </w:rPr>
        <w:t>gelőzést, a korai felismerést, a korai fejlesztést, az egészséges fejlődést, az életminőség javítását és a munkaképesség mielőbbi visszaállítását, valamint az erőforrások koncentrálásával</w:t>
      </w:r>
      <w:r>
        <w:rPr>
          <w:rFonts w:ascii="Arial-BoldMT" w:hAnsi="Arial-BoldMT" w:cs="Arial-BoldMT"/>
          <w:sz w:val="21"/>
          <w:szCs w:val="21"/>
        </w:rPr>
        <w:t xml:space="preserve"> az egészségügyi alapellátással kapcsolatban álló, többi ágazathoz ta</w:t>
      </w:r>
      <w:r>
        <w:rPr>
          <w:rFonts w:ascii="Arial-BoldMT CE" w:hAnsi="Arial-BoldMT CE" w:cs="Arial-BoldMT CE"/>
          <w:sz w:val="21"/>
          <w:szCs w:val="21"/>
        </w:rPr>
        <w:t>rtozó közszolgáltatásokkal való hatékonyabb együttműködést, a szolgáltat</w:t>
      </w:r>
      <w:r>
        <w:rPr>
          <w:rFonts w:ascii="Arial-BoldMT" w:hAnsi="Arial-BoldMT" w:cs="Arial-BoldMT"/>
          <w:sz w:val="21"/>
          <w:szCs w:val="21"/>
        </w:rPr>
        <w:t xml:space="preserve">ások költség-hatékonyságának és </w:t>
      </w:r>
      <w:r>
        <w:rPr>
          <w:rFonts w:ascii="Arial-BoldMT CE" w:hAnsi="Arial-BoldMT CE" w:cs="Arial-BoldMT CE"/>
          <w:sz w:val="21"/>
          <w:szCs w:val="21"/>
        </w:rPr>
        <w:t>minőségének javítását segítik elő.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A fejlesztéssel érintett szolgálatok: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9B66EA" w:rsidRDefault="009B66E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Nagykanizsa, Nagyrác u.</w:t>
      </w:r>
      <w:r>
        <w:rPr>
          <w:rFonts w:ascii="Arial-BoldMT CE" w:hAnsi="Arial-BoldMT CE" w:cs="Arial-BoldMT CE"/>
          <w:sz w:val="21"/>
          <w:szCs w:val="21"/>
        </w:rPr>
        <w:t xml:space="preserve"> 2. felnőtt háziorvosi rendelő felújítása</w:t>
      </w:r>
    </w:p>
    <w:p w:rsidR="009B66EA" w:rsidRDefault="009B66E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Nagykanizsa, Szent Imre u. 1. </w:t>
      </w:r>
      <w:r>
        <w:rPr>
          <w:rFonts w:ascii="Arial-BoldMT CE" w:hAnsi="Arial-BoldMT CE" w:cs="Arial-BoldMT CE"/>
          <w:sz w:val="21"/>
          <w:szCs w:val="21"/>
        </w:rPr>
        <w:t>Fogászati alapellátási rendelő felújítása</w:t>
      </w:r>
    </w:p>
    <w:p w:rsidR="009B66EA" w:rsidRDefault="009B66E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Nagykanizsa, </w:t>
      </w:r>
      <w:proofErr w:type="spellStart"/>
      <w:r>
        <w:rPr>
          <w:rFonts w:ascii="Arial-BoldMT" w:hAnsi="Arial-BoldMT" w:cs="Arial-BoldMT"/>
          <w:sz w:val="21"/>
          <w:szCs w:val="21"/>
        </w:rPr>
        <w:t>Csengery</w:t>
      </w:r>
      <w:proofErr w:type="spellEnd"/>
      <w:r>
        <w:rPr>
          <w:rFonts w:ascii="Arial-BoldMT" w:hAnsi="Arial-BoldMT" w:cs="Arial-BoldMT"/>
          <w:sz w:val="21"/>
          <w:szCs w:val="21"/>
        </w:rPr>
        <w:t xml:space="preserve"> u. 89. sz. alatt új </w:t>
      </w:r>
      <w:r>
        <w:rPr>
          <w:rFonts w:ascii="Arial-BoldMT CE" w:hAnsi="Arial-BoldMT CE" w:cs="Arial-BoldMT CE"/>
          <w:sz w:val="21"/>
          <w:szCs w:val="21"/>
        </w:rPr>
        <w:t>gyermek háziorvosi rendelő és védőnői szolgálat építése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A beruházás befejezésének tervezett </w:t>
      </w:r>
      <w:r>
        <w:rPr>
          <w:rFonts w:ascii="Arial-BoldMT CE" w:hAnsi="Arial-BoldMT CE" w:cs="Arial-BoldMT CE"/>
          <w:sz w:val="21"/>
          <w:szCs w:val="21"/>
        </w:rPr>
        <w:t xml:space="preserve">időpontja: </w:t>
      </w:r>
      <w:r>
        <w:rPr>
          <w:rFonts w:ascii="Arial-BoldMT" w:hAnsi="Arial-BoldMT" w:cs="Arial-BoldMT"/>
          <w:sz w:val="21"/>
          <w:szCs w:val="21"/>
        </w:rPr>
        <w:t>2018.10.31.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A fejlesztés eredményeként az épületek felújításával, illetve berendezési tárgyainak cseréjével az odalátogatókat biztonságos, </w:t>
      </w:r>
      <w:r>
        <w:rPr>
          <w:rFonts w:ascii="Arial-BoldMT CE" w:hAnsi="Arial-BoldMT CE" w:cs="Arial-BoldMT CE"/>
          <w:b/>
          <w:bCs/>
          <w:sz w:val="21"/>
          <w:szCs w:val="21"/>
        </w:rPr>
        <w:t xml:space="preserve">magas színvonalú, minden igényt kielégítő szolgálatok </w:t>
      </w:r>
      <w:r>
        <w:rPr>
          <w:rFonts w:ascii="Arial-BoldMT" w:hAnsi="Arial-BoldMT" w:cs="Arial-BoldMT"/>
          <w:b/>
          <w:bCs/>
          <w:sz w:val="21"/>
          <w:szCs w:val="21"/>
        </w:rPr>
        <w:t>fogadhatják.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 projekt a Széchenyi 2020 program keretében valósul meg.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 projektről bővebb információt a </w:t>
      </w:r>
      <w:hyperlink r:id="rId6" w:history="1">
        <w:r>
          <w:rPr>
            <w:rStyle w:val="Hiperhivatkozs"/>
          </w:rPr>
          <w:t>www.nagykanizsa.hu</w:t>
        </w:r>
      </w:hyperlink>
      <w:r w:rsidR="004A7FCB">
        <w:t xml:space="preserve"> </w:t>
      </w:r>
      <w:r>
        <w:rPr>
          <w:rFonts w:ascii="Arial" w:hAnsi="Arial" w:cs="Arial"/>
          <w:b/>
          <w:bCs/>
          <w:sz w:val="21"/>
          <w:szCs w:val="21"/>
        </w:rPr>
        <w:t>oldalon olvashatnak.</w:t>
      </w:r>
    </w:p>
    <w:p w:rsidR="009B66EA" w:rsidRDefault="009B66EA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Horváth Dávid, projektmenedzser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Nagykanizsai Városfejlesztő Kft.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H-8800 Nagykanizsa, Erzsébet tér 20.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Telefon: +36 20 439-4433</w:t>
      </w:r>
    </w:p>
    <w:p w:rsidR="009B66EA" w:rsidRDefault="009B66EA">
      <w:pPr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Email: </w:t>
      </w:r>
      <w:hyperlink r:id="rId7" w:history="1">
        <w:r>
          <w:rPr>
            <w:rStyle w:val="Hiperhivatkozs"/>
          </w:rPr>
          <w:t>horvath.david@nagykanizsa.hu</w:t>
        </w:r>
      </w:hyperlink>
    </w:p>
    <w:sectPr w:rsidR="009B66EA" w:rsidSect="009B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D99"/>
    <w:multiLevelType w:val="multilevel"/>
    <w:tmpl w:val="21A069D6"/>
    <w:lvl w:ilvl="0">
      <w:start w:val="2017"/>
      <w:numFmt w:val="bullet"/>
      <w:lvlText w:val="-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9B66EA"/>
    <w:rsid w:val="00112BBA"/>
    <w:rsid w:val="002D53F6"/>
    <w:rsid w:val="004A7FCB"/>
    <w:rsid w:val="00714615"/>
    <w:rsid w:val="008D0AE4"/>
    <w:rsid w:val="009B66EA"/>
    <w:rsid w:val="00B2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3093"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23093"/>
    <w:pPr>
      <w:ind w:left="720"/>
    </w:pPr>
  </w:style>
  <w:style w:type="character" w:styleId="Hiperhivatkozs">
    <w:name w:val="Hyperlink"/>
    <w:basedOn w:val="Bekezdsalapbettpusa"/>
    <w:uiPriority w:val="99"/>
    <w:rsid w:val="00B23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pPr>
      <w:ind w:left="720"/>
    </w:p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vath.david@nagykanizs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kanizsa.h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kanizsaujsag</cp:lastModifiedBy>
  <cp:revision>4</cp:revision>
  <dcterms:created xsi:type="dcterms:W3CDTF">2017-11-29T07:54:00Z</dcterms:created>
  <dcterms:modified xsi:type="dcterms:W3CDTF">2017-11-30T07:26:00Z</dcterms:modified>
</cp:coreProperties>
</file>